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柯艾党支部 9 月主题党日活动记录</w:t>
      </w:r>
    </w:p>
    <w:p>
      <w:pPr>
        <w:pStyle w:val="Heading2"/>
      </w:pPr>
      <w:r>
        <w:t xml:space="preserve">活动主题</w:t>
      </w:r>
    </w:p>
    <w:p>
      <w:pPr>
        <w:pStyle w:val="text"/>
      </w:pPr>
      <w:r>
        <w:t xml:space="preserve">党纪学习教育总结座谈会</w:t>
      </w:r>
    </w:p>
    <w:p>
      <w:pPr>
        <w:pStyle w:val="Heading2"/>
      </w:pPr>
      <w:r>
        <w:t xml:space="preserve">活动时间</w:t>
      </w:r>
    </w:p>
    <w:p>
      <w:pPr>
        <w:pStyle w:val="text"/>
      </w:pPr>
      <w:r>
        <w:t xml:space="preserve">[具体 9 月日期]</w:t>
      </w:r>
    </w:p>
    <w:p>
      <w:pPr>
        <w:pStyle w:val="Heading2"/>
      </w:pPr>
      <w:r>
        <w:t xml:space="preserve">活动地点</w:t>
      </w:r>
    </w:p>
    <w:p>
      <w:pPr>
        <w:pStyle w:val="text"/>
      </w:pPr>
      <w:r>
        <w:t xml:space="preserve">雅仕大厦党群服务站</w:t>
      </w:r>
    </w:p>
    <w:p>
      <w:pPr>
        <w:pStyle w:val="Heading2"/>
      </w:pPr>
      <w:r>
        <w:t xml:space="preserve">活动内容</w:t>
      </w:r>
    </w:p>
    <w:p>
      <w:pPr>
        <w:pStyle w:val="text"/>
      </w:pPr>
      <w:r>
        <w:t xml:space="preserve">本次主题党日活动聚焦党纪学习教育总结，柯艾党支部组织全体党员在雅仕大厦党群服务站召开座谈会。会上，党支部书记首先回顾了近几个月党纪学习教育的开展情况，从学习计划落实、专题党课开展到警示教育活动等方面进行全面梳理，肯定了党员们在学习过程中的积极表现。</w:t>
      </w:r>
    </w:p>
    <w:p>
      <w:pPr>
        <w:pStyle w:val="text"/>
      </w:pPr>
      <w:r>
        <w:t xml:space="preserve">随后，党员们围绕学习心得展开热烈的分享与互动交流。老党员张同志结合自身工作经历，谈到通过学习《中国共产党纪律处分条例》，对 “六大纪律” 有了更深刻的理解，今后将以纪律为标尺规范言行；青年党员李同志分享了参与党纪知识竞赛的感悟，认为以赛促学的方式让纪律要求入脑入心，要在日常工作中做到知敬畏、存戒惧。</w:t>
      </w:r>
    </w:p>
    <w:p>
      <w:pPr>
        <w:pStyle w:val="text"/>
      </w:pPr>
      <w:r>
        <w:t xml:space="preserve">流动党员沈玲虽常在外工作，仍通过线上线下相结合的方式全程参与学习，她现场提交了书面心得体会，提到远程学习中通过党支部推送的微党课视频，深刻认识到党纪是党员的 “护身符”，承诺会始终严格要求自己，不辜负组织期望。交流中，大家还就工作中遇到的纪律困惑相互探讨，形成了遵规守纪的共识。</w:t>
      </w:r>
    </w:p>
    <w:p>
      <w:pPr>
        <w:pStyle w:val="Heading2"/>
      </w:pPr>
      <w:r>
        <w:t xml:space="preserve">活动成效</w:t>
      </w:r>
    </w:p>
    <w:p>
      <w:pPr>
        <w:pStyle w:val="text"/>
      </w:pPr>
      <w:r>
        <w:t xml:space="preserve">此次座谈会不仅全面总结了党纪学习教育成果，更通过思想碰撞强化了党员的纪律意识和规矩观念，为党支部后续工作的开展奠定了坚实基础。</w:t>
      </w:r>
    </w:p>
    <w:p>
      <w:pPr>
        <w:pStyle w:val="blockquote"/>
        <w:pBdr>
          <w:left w:val="single" w:color="BBBFC4" w:sz="18" w:space="0"/>
        </w:pBdr>
      </w:pPr>
      <w:r>
        <w:t xml:space="preserve">（注：文档部分内容可能由 AI 生成）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2025-08-07T11:56:15.332Z</dcterms:created>
  <dcterms:modified xsi:type="dcterms:W3CDTF">2025-08-07T11:56:15.333Z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